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4462" w14:textId="77777777" w:rsidR="00C74977" w:rsidRPr="00C74977" w:rsidRDefault="00C74977" w:rsidP="00C74977">
      <w:pPr>
        <w:rPr>
          <w:b/>
          <w:bCs/>
        </w:rPr>
      </w:pPr>
      <w:r w:rsidRPr="00C74977">
        <w:rPr>
          <w:b/>
          <w:bCs/>
        </w:rPr>
        <w:t>Summary</w:t>
      </w:r>
    </w:p>
    <w:p w14:paraId="6D6828E8" w14:textId="1F6190CB" w:rsidR="006B4FBC" w:rsidRDefault="006B4FBC" w:rsidP="00C74977">
      <w:r w:rsidRPr="006B4FBC">
        <w:t>Volatility rose</w:t>
      </w:r>
      <w:r>
        <w:t>,</w:t>
      </w:r>
      <w:r w:rsidRPr="006B4FBC">
        <w:t xml:space="preserve"> and stocks fell last week after a surprise decline in February payrolls coincided with crude oil’s largest weekly gain on record. The combination of weak economic data and higher energy prices raises concerns about slowing growth</w:t>
      </w:r>
      <w:r>
        <w:t>,</w:t>
      </w:r>
      <w:r w:rsidRPr="006B4FBC">
        <w:t xml:space="preserve"> at the same time</w:t>
      </w:r>
      <w:r>
        <w:t>,</w:t>
      </w:r>
      <w:r w:rsidRPr="006B4FBC">
        <w:t xml:space="preserve"> inflation pressures may be building again. Treasury yields will be worth watching closely, as past geopolitical shocks haven’t always produced the traditional flight to safety. Investors will focus on Wednesday’s CPI report for clues about whether inflation pressures are easing or beginning to reaccelerate. By some measures, volatility and risk perceptions are at their highest levels since April.</w:t>
      </w:r>
    </w:p>
    <w:p w14:paraId="131B4556" w14:textId="333AAF69" w:rsidR="00C74977" w:rsidRPr="00C74977" w:rsidRDefault="00C74977" w:rsidP="00C74977">
      <w:pPr>
        <w:rPr>
          <w:b/>
          <w:bCs/>
        </w:rPr>
      </w:pPr>
      <w:r w:rsidRPr="00C74977">
        <w:rPr>
          <w:b/>
          <w:bCs/>
        </w:rPr>
        <w:t>Investment Thesis</w:t>
      </w:r>
    </w:p>
    <w:p w14:paraId="0C008F16" w14:textId="5724D341" w:rsidR="006B4FBC" w:rsidRDefault="006B4FBC" w:rsidP="006B4FBC">
      <w:r>
        <w:t>The buy-the-dip mentality may soon be tested as energy prices increasingly become the dominant macro driver. The recent surge in crude oil comes at a time when economic momentum already appears to be slowing, creating tension between weaker growth and renewed inflation pressure.</w:t>
      </w:r>
    </w:p>
    <w:p w14:paraId="59366E3A" w14:textId="77777777" w:rsidR="006B4FBC" w:rsidRDefault="006B4FBC" w:rsidP="006B4FBC">
      <w:r>
        <w:t>This dynamic complicates the Federal Reserve’s policy outlook. While weaker labor market data might normally strengthen the case for rate cuts later this year, sustained energy price increases could push inflation expectations higher and limit how quickly policymakers can ease. No changes to rates are expected at the upcoming March 17–18 meeting.</w:t>
      </w:r>
    </w:p>
    <w:p w14:paraId="67AD71D6" w14:textId="694C6DC7" w:rsidR="006B4FBC" w:rsidRDefault="006B4FBC" w:rsidP="006B4FBC">
      <w:r w:rsidRPr="006B4FBC">
        <w:rPr>
          <w:b/>
          <w:bCs/>
        </w:rPr>
        <w:t>Bottom line:</w:t>
      </w:r>
      <w:r w:rsidRPr="006B4FBC">
        <w:br/>
        <w:t>For now, the market narrative appears to be shifting from “growth resilience” toward a more complicated mix of geopolitical risk, energy inflation, and tightening financial conditions.</w:t>
      </w:r>
    </w:p>
    <w:p w14:paraId="457B2D55" w14:textId="77777777" w:rsidR="006B4FBC" w:rsidRDefault="00F5680F" w:rsidP="006B4FBC">
      <w:r>
        <w:t>Meanwhile, there are signs of possible deleveraging across asset classes. Bitcoin has dropped back below $</w:t>
      </w:r>
      <w:r w:rsidR="006B4FBC">
        <w:t>67</w:t>
      </w:r>
      <w:r>
        <w:t>,</w:t>
      </w:r>
      <w:r w:rsidR="006B4FBC">
        <w:t>5</w:t>
      </w:r>
      <w:r>
        <w:t>00</w:t>
      </w:r>
      <w:r w:rsidR="006B4FBC">
        <w:t xml:space="preserve"> (from more than $73,000 midweek)</w:t>
      </w:r>
      <w:r>
        <w:t xml:space="preserve">, and each rally </w:t>
      </w:r>
      <w:r w:rsidR="006B4FBC">
        <w:t>has been met with renewed</w:t>
      </w:r>
      <w:r>
        <w:t xml:space="preserve"> selling. </w:t>
      </w:r>
    </w:p>
    <w:p w14:paraId="4D37C9CA" w14:textId="450AAC27" w:rsidR="00F5680F" w:rsidRDefault="00F5680F" w:rsidP="006B4FBC">
      <w:r>
        <w:t>Private credit markets are under pressure, with Bloomberg reporting:</w:t>
      </w:r>
    </w:p>
    <w:p w14:paraId="4DEE1BE1" w14:textId="1349BA1B" w:rsidR="00F5680F" w:rsidRDefault="00F5680F" w:rsidP="00C74977">
      <w:r w:rsidRPr="00F5680F">
        <w:t>From Blue Owl Capital Inc. to Blackstone Inc., private credit funds across the industry are facing a wave of withdrawals</w:t>
      </w:r>
      <w:r>
        <w:t>,</w:t>
      </w:r>
      <w:r w:rsidRPr="00F5680F">
        <w:t xml:space="preserve"> and analysts are warning </w:t>
      </w:r>
      <w:r>
        <w:t xml:space="preserve">that </w:t>
      </w:r>
      <w:r w:rsidRPr="00F5680F">
        <w:t>default rates could soar</w:t>
      </w:r>
      <w:r>
        <w:t>.</w:t>
      </w:r>
    </w:p>
    <w:p w14:paraId="265F9911" w14:textId="7E103536" w:rsidR="00F5680F" w:rsidRDefault="00F5680F" w:rsidP="00C74977">
      <w:r>
        <w:t>While retail investors are showing no signs of panic and the decline in the broader equity markets has been orderly so far, traders are watching for signs of a possible repeat of April 2025, when tariff fears triggered a wave of deleveraging</w:t>
      </w:r>
      <w:r w:rsidR="00871B5A">
        <w:t>, a sudden drop in equity prices,</w:t>
      </w:r>
      <w:r>
        <w:t xml:space="preserve"> and a massive spike in market volatility. </w:t>
      </w:r>
    </w:p>
    <w:p w14:paraId="4CE988DA" w14:textId="42B6B5B9" w:rsidR="00C74977" w:rsidRPr="00C74977" w:rsidRDefault="00C74977" w:rsidP="00C74977">
      <w:pPr>
        <w:rPr>
          <w:b/>
          <w:bCs/>
        </w:rPr>
      </w:pPr>
      <w:r w:rsidRPr="00C74977">
        <w:rPr>
          <w:b/>
          <w:bCs/>
        </w:rPr>
        <w:t xml:space="preserve">What Happened </w:t>
      </w:r>
      <w:r w:rsidR="00AD39CB">
        <w:rPr>
          <w:b/>
          <w:bCs/>
        </w:rPr>
        <w:t>Last</w:t>
      </w:r>
      <w:r w:rsidRPr="00C74977">
        <w:rPr>
          <w:b/>
          <w:bCs/>
        </w:rPr>
        <w:t xml:space="preserve"> Week</w:t>
      </w:r>
    </w:p>
    <w:p w14:paraId="15ACE5AD" w14:textId="06DD05F0" w:rsidR="00871B5A" w:rsidRDefault="007457FC" w:rsidP="00C74977">
      <w:r>
        <w:lastRenderedPageBreak/>
        <w:t>When markets opened on Monday, risk-off sentiment took hold on reports of US and Israeli attacks on Iran. The early weakness was short-lived, however, and the buy-the-dip crowd ran the market averages higher throughout the day. While the Dow fell, the Nasdaq finished higher. Bond yields rose, with the 10-year recapturing 4%, after finishing the previous week at 3.95%.</w:t>
      </w:r>
    </w:p>
    <w:p w14:paraId="7F0808E9" w14:textId="00593584" w:rsidR="007457FC" w:rsidRDefault="007457FC" w:rsidP="00C74977">
      <w:r>
        <w:t>As the week progressed, however, neither stocks nor bonds could gain any momentum, as the weight of higher crude oil prices weighed on sentiment.</w:t>
      </w:r>
    </w:p>
    <w:p w14:paraId="5FB2EEB9" w14:textId="0F3F1853" w:rsidR="00EE582A" w:rsidRPr="00EE582A" w:rsidRDefault="007457FC" w:rsidP="00EE582A">
      <w:r>
        <w:t xml:space="preserve">Then, on Friday, </w:t>
      </w:r>
      <w:r w:rsidR="00EE582A">
        <w:t xml:space="preserve"> the economic</w:t>
      </w:r>
      <w:r>
        <w:t xml:space="preserve"> news </w:t>
      </w:r>
      <w:r w:rsidR="00EE582A">
        <w:t>disappointed. The headline that</w:t>
      </w:r>
      <w:r w:rsidR="00EE582A" w:rsidRPr="00EE582A">
        <w:t xml:space="preserve"> Feb</w:t>
      </w:r>
      <w:r w:rsidR="00EE582A">
        <w:t>ruary</w:t>
      </w:r>
      <w:r w:rsidR="00EE582A" w:rsidRPr="00EE582A">
        <w:t xml:space="preserve"> nonfarm payrolls unexpectedly fell by </w:t>
      </w:r>
      <w:r w:rsidR="00EE582A">
        <w:t>9</w:t>
      </w:r>
      <w:r w:rsidR="00EE582A" w:rsidRPr="00EE582A">
        <w:t xml:space="preserve">2,000, </w:t>
      </w:r>
      <w:r w:rsidR="00EE582A">
        <w:t xml:space="preserve">much </w:t>
      </w:r>
      <w:r w:rsidR="00EE582A" w:rsidRPr="00EE582A">
        <w:t>weaker than expectations of a 55,000 increase</w:t>
      </w:r>
      <w:r w:rsidR="00EE582A">
        <w:t xml:space="preserve">, marked </w:t>
      </w:r>
      <w:r w:rsidR="00EE582A" w:rsidRPr="00EE582A">
        <w:t>the biggest decline in four months. The unemployment rate unexpectedly rose +0.1 to 4.4%</w:t>
      </w:r>
      <w:r w:rsidR="00EE582A">
        <w:t>.</w:t>
      </w:r>
    </w:p>
    <w:p w14:paraId="65AB6C57" w14:textId="24714644" w:rsidR="00EE582A" w:rsidRDefault="00871B5A" w:rsidP="00C74977">
      <w:r>
        <w:t xml:space="preserve">A separate report showed </w:t>
      </w:r>
      <w:r w:rsidR="00EE582A" w:rsidRPr="00EE582A">
        <w:t>Jan</w:t>
      </w:r>
      <w:r>
        <w:t>uary</w:t>
      </w:r>
      <w:r w:rsidR="00EE582A" w:rsidRPr="00EE582A">
        <w:t xml:space="preserve"> retail sales </w:t>
      </w:r>
      <w:r>
        <w:t>falling</w:t>
      </w:r>
      <w:r w:rsidR="00EE582A" w:rsidRPr="00EE582A">
        <w:t xml:space="preserve"> -0.2%</w:t>
      </w:r>
      <w:r>
        <w:t>, which is a bit better than the .3% that economists were expecting.</w:t>
      </w:r>
    </w:p>
    <w:p w14:paraId="36B7213A" w14:textId="64F44834" w:rsidR="007457FC" w:rsidRDefault="007457FC" w:rsidP="00C74977">
      <w:r>
        <w:t xml:space="preserve">The retail sales print wasn’t enough to bolster sentiment. Stocks finished Friday sharply lower and down on the week. Bonds failed to catch a bid, and the yield on the ten-year now sits at 4.15%. </w:t>
      </w:r>
    </w:p>
    <w:p w14:paraId="056D4122" w14:textId="77777777" w:rsidR="00C74977" w:rsidRPr="00C74977" w:rsidRDefault="00C74977" w:rsidP="00C74977">
      <w:pPr>
        <w:rPr>
          <w:b/>
          <w:bCs/>
        </w:rPr>
      </w:pPr>
      <w:r w:rsidRPr="00C74977">
        <w:rPr>
          <w:b/>
          <w:bCs/>
        </w:rPr>
        <w:t>The Macro Theme</w:t>
      </w:r>
    </w:p>
    <w:p w14:paraId="34098A24" w14:textId="77777777" w:rsidR="00871B5A" w:rsidRDefault="00871B5A" w:rsidP="00871B5A">
      <w:r>
        <w:t>The latest strikes on Iran are taking a very different shape from the first wave from a few months ago. The first blitz was intended to take out nuclear capabilities. Regime change is the stated goal this time, with Trump demanding a complete surrender. As a result, the conflict is likely to last longer and put pressure on crude oil prices, which surged 35% last week.</w:t>
      </w:r>
    </w:p>
    <w:p w14:paraId="797CF315" w14:textId="4CF05FC3" w:rsidR="00EE582A" w:rsidRDefault="00EE582A" w:rsidP="00EE582A">
      <w:r>
        <w:t xml:space="preserve">Crude oil was up 12% Friday alone and at a 2.5-year high. </w:t>
      </w:r>
      <w:r w:rsidRPr="00EE582A">
        <w:t xml:space="preserve">Goldman Sachs estimates the real-time risk premium for crude oil </w:t>
      </w:r>
      <w:r>
        <w:t>is</w:t>
      </w:r>
      <w:r w:rsidRPr="00EE582A">
        <w:t xml:space="preserve"> $18</w:t>
      </w:r>
      <w:r>
        <w:t xml:space="preserve"> per barrel</w:t>
      </w:r>
      <w:r w:rsidRPr="00EE582A">
        <w:t xml:space="preserve">, </w:t>
      </w:r>
      <w:r>
        <w:t>which corresponds</w:t>
      </w:r>
      <w:r w:rsidRPr="00EE582A">
        <w:t xml:space="preserve"> to its estimate of the impact of a six-week full halt to tanker traffic in the Strait of Hormuz.</w:t>
      </w:r>
      <w:r w:rsidR="007457FC">
        <w:t xml:space="preserve"> </w:t>
      </w:r>
    </w:p>
    <w:p w14:paraId="77860B0E" w14:textId="32488B35" w:rsidR="007457FC" w:rsidRDefault="007457FC" w:rsidP="00EE582A">
      <w:r>
        <w:t>Higher crude oil prices and resilient bond yields are the two main themes facing macro investors and likely to guide the action in the dollar, metals, and stocks.</w:t>
      </w:r>
    </w:p>
    <w:p w14:paraId="581B76E3" w14:textId="77777777" w:rsidR="00C74977" w:rsidRPr="00C74977" w:rsidRDefault="00C74977" w:rsidP="00C74977">
      <w:pPr>
        <w:rPr>
          <w:b/>
          <w:bCs/>
        </w:rPr>
      </w:pPr>
      <w:r w:rsidRPr="00C74977">
        <w:rPr>
          <w:b/>
          <w:bCs/>
        </w:rPr>
        <w:t>Policy Outlook</w:t>
      </w:r>
    </w:p>
    <w:p w14:paraId="20DD09E3" w14:textId="5E3270F2" w:rsidR="00A2433A" w:rsidRDefault="00C74977" w:rsidP="00C74977">
      <w:r>
        <w:t>The next Fed meeting comes into focus on March 17-18.</w:t>
      </w:r>
      <w:r w:rsidR="00AD39CB">
        <w:t xml:space="preserve"> Weak </w:t>
      </w:r>
      <w:r w:rsidR="00A2433A">
        <w:t>job</w:t>
      </w:r>
      <w:r w:rsidR="00AD39CB">
        <w:t xml:space="preserve"> numbers </w:t>
      </w:r>
      <w:r w:rsidR="00A2433A">
        <w:t xml:space="preserve">on </w:t>
      </w:r>
      <w:r w:rsidR="00AD39CB">
        <w:t>Friday</w:t>
      </w:r>
      <w:r w:rsidR="00A2433A">
        <w:t xml:space="preserve"> complicate the decision after officials voted to keep rates steady in January.</w:t>
      </w:r>
      <w:r w:rsidR="00AD39CB" w:rsidRPr="00AD39CB">
        <w:t xml:space="preserve"> </w:t>
      </w:r>
      <w:r w:rsidR="00A2433A">
        <w:t>The Fed must balance the risks of inflation due to surging oil prices with signs of sluggishness in the labor market.</w:t>
      </w:r>
    </w:p>
    <w:p w14:paraId="6191810C" w14:textId="77777777" w:rsidR="006B4FBC" w:rsidRDefault="006B4FBC" w:rsidP="00C74977">
      <w:r w:rsidRPr="006B4FBC">
        <w:t>The question facing policymakers is whether weaker job growth will outweigh the risk of inflation fueled by rising energy prices.</w:t>
      </w:r>
    </w:p>
    <w:p w14:paraId="70251275" w14:textId="2AF058F5" w:rsidR="00C74977" w:rsidRDefault="00A2433A" w:rsidP="00C74977">
      <w:r>
        <w:t>According</w:t>
      </w:r>
      <w:r w:rsidR="00AD39CB" w:rsidRPr="00AD39CB">
        <w:t xml:space="preserve"> to the CME </w:t>
      </w:r>
      <w:proofErr w:type="spellStart"/>
      <w:r w:rsidR="00AD39CB" w:rsidRPr="00AD39CB">
        <w:t>FedWatch</w:t>
      </w:r>
      <w:proofErr w:type="spellEnd"/>
      <w:r w:rsidR="00AD39CB" w:rsidRPr="00AD39CB">
        <w:t xml:space="preserve"> Tool, </w:t>
      </w:r>
      <w:r>
        <w:t xml:space="preserve">the Fed is unlikely to act at the March meeting. However, </w:t>
      </w:r>
      <w:r w:rsidR="00AD39CB" w:rsidRPr="00AD39CB">
        <w:t xml:space="preserve">chances for a cut by June </w:t>
      </w:r>
      <w:r>
        <w:t>rose to</w:t>
      </w:r>
      <w:r w:rsidR="00AD39CB" w:rsidRPr="00AD39CB">
        <w:t xml:space="preserve"> nearly 50%, from </w:t>
      </w:r>
      <w:r>
        <w:t>roughly 30% a week ago</w:t>
      </w:r>
      <w:r w:rsidR="00AD39CB" w:rsidRPr="00AD39CB">
        <w:t xml:space="preserve">. </w:t>
      </w:r>
      <w:r>
        <w:t xml:space="preserve">Wednesday’s CPI print doesn’t capture the spike in oil from the Iran war, but will likely further shape expectations for rate cuts later in the year. Economists expect an uptick of .3% for February. </w:t>
      </w:r>
    </w:p>
    <w:p w14:paraId="4F198F4C" w14:textId="76DB98DB" w:rsidR="00C74977" w:rsidRPr="00C74977" w:rsidRDefault="00C74977" w:rsidP="00C74977">
      <w:pPr>
        <w:rPr>
          <w:b/>
          <w:bCs/>
        </w:rPr>
      </w:pPr>
      <w:r>
        <w:rPr>
          <w:b/>
          <w:bCs/>
        </w:rPr>
        <w:t xml:space="preserve">Key Levels/What </w:t>
      </w:r>
      <w:r w:rsidR="007457FC">
        <w:rPr>
          <w:b/>
          <w:bCs/>
        </w:rPr>
        <w:t>to Watch</w:t>
      </w:r>
    </w:p>
    <w:p w14:paraId="2BE3B0D7" w14:textId="2B941921" w:rsidR="007457FC" w:rsidRDefault="007457FC" w:rsidP="007457FC">
      <w:r>
        <w:t xml:space="preserve">Oil will remain in focus, and traders are eyeing $100 per barrel (WTI) in the short-term. While that might have seemed unfathomable just two weeks ago, that’s a 10% move from current levels and </w:t>
      </w:r>
      <w:r>
        <w:t>crude was up 12% Friday alone.</w:t>
      </w:r>
    </w:p>
    <w:p w14:paraId="692708CC" w14:textId="5CC5B3A1" w:rsidR="00AD39CB" w:rsidRDefault="007457FC" w:rsidP="00C74977">
      <w:r>
        <w:t xml:space="preserve">Meanwhile, </w:t>
      </w:r>
      <w:r w:rsidR="00AD39CB">
        <w:t xml:space="preserve">CBOE Volatility Index (VIX) has spiked to nearly 30, its highest levels since the April 2025 tariff tantrum. The rise in the market’s “fear gauge” is clear evidence that risk aversion is on the </w:t>
      </w:r>
      <w:r w:rsidR="00F5680F">
        <w:t>rise</w:t>
      </w:r>
      <w:r w:rsidR="00AD39CB">
        <w:t>, which we’re also seeing in falling crypto prices, underperformance of small caps, and CBOE’s put-to-call ratio of nearly 1.0.</w:t>
      </w:r>
    </w:p>
    <w:p w14:paraId="4F973315" w14:textId="10A7820A" w:rsidR="007457FC" w:rsidRDefault="007457FC" w:rsidP="00C74977">
      <w:r>
        <w:t xml:space="preserve">VIX futures were up along the curve. August is 26.5 and not suggesting the type of extreme backwardation seen during other panics, yet. </w:t>
      </w:r>
      <w:r w:rsidR="00E779AD">
        <w:t>In other words, while sentiment has shifted, there aren’t convincing signs that it’s at an extreme of bearishness or fear.</w:t>
      </w:r>
    </w:p>
    <w:p w14:paraId="41B2D408" w14:textId="4481A9DF" w:rsidR="00E779AD" w:rsidRDefault="00E779AD" w:rsidP="00C74977">
      <w:r>
        <w:t>Last week’s lows around 6,700 are the key levels to watch on the S&amp;P 500.</w:t>
      </w:r>
    </w:p>
    <w:p w14:paraId="4C84412A" w14:textId="77777777" w:rsidR="00C74977" w:rsidRDefault="00C74977" w:rsidP="00C74977">
      <w:pPr>
        <w:rPr>
          <w:b/>
          <w:bCs/>
        </w:rPr>
      </w:pPr>
      <w:r w:rsidRPr="00C74977">
        <w:rPr>
          <w:b/>
          <w:bCs/>
        </w:rPr>
        <w:t>Week Ahead</w:t>
      </w:r>
    </w:p>
    <w:p w14:paraId="47C4E22B" w14:textId="5CDD9AE5" w:rsidR="00AD39CB" w:rsidRPr="00AD39CB" w:rsidRDefault="00AD39CB" w:rsidP="00C74977">
      <w:r>
        <w:t xml:space="preserve">The </w:t>
      </w:r>
      <w:r>
        <w:t xml:space="preserve">earnings and economic data is light early in the week, </w:t>
      </w:r>
      <w:r w:rsidR="00871B5A">
        <w:t xml:space="preserve">and then </w:t>
      </w:r>
      <w:r w:rsidR="0036016F">
        <w:t xml:space="preserve">the </w:t>
      </w:r>
      <w:r w:rsidR="00871B5A">
        <w:t>focus turns to Wednesday’s CPI print. Nearly all of the S&amp;P 500 components have reported their fourth-quarter earnings, and therefore, the earnings calendar includes only a few top-tier names.</w:t>
      </w:r>
    </w:p>
    <w:p w14:paraId="484F7A8C" w14:textId="0EBF93FA" w:rsidR="00C74977" w:rsidRDefault="00C74977" w:rsidP="00C74977">
      <w:pPr>
        <w:pStyle w:val="ListParagraph"/>
        <w:numPr>
          <w:ilvl w:val="0"/>
          <w:numId w:val="1"/>
        </w:numPr>
      </w:pPr>
      <w:r>
        <w:t xml:space="preserve">March 9:  Hewlett-Packard (HPE) </w:t>
      </w:r>
      <w:r w:rsidR="00AD39CB">
        <w:t>earnings</w:t>
      </w:r>
    </w:p>
    <w:p w14:paraId="776D9B29" w14:textId="02CB9147" w:rsidR="00C74977" w:rsidRDefault="00C74977" w:rsidP="00C74977">
      <w:pPr>
        <w:pStyle w:val="ListParagraph"/>
        <w:numPr>
          <w:ilvl w:val="0"/>
          <w:numId w:val="1"/>
        </w:numPr>
      </w:pPr>
      <w:r>
        <w:t xml:space="preserve">March 10: February existing home sales and </w:t>
      </w:r>
      <w:r w:rsidR="00AD39CB">
        <w:t>e</w:t>
      </w:r>
      <w:r>
        <w:t xml:space="preserve">arnings from Oracle (ORCL) </w:t>
      </w:r>
    </w:p>
    <w:p w14:paraId="1AC4DA14" w14:textId="1159B40F" w:rsidR="00C74977" w:rsidRDefault="00C74977" w:rsidP="00C74977">
      <w:pPr>
        <w:pStyle w:val="ListParagraph"/>
        <w:numPr>
          <w:ilvl w:val="0"/>
          <w:numId w:val="1"/>
        </w:numPr>
      </w:pPr>
      <w:r>
        <w:t xml:space="preserve">March 11: </w:t>
      </w:r>
      <w:r w:rsidRPr="00F5680F">
        <w:rPr>
          <w:b/>
          <w:bCs/>
        </w:rPr>
        <w:t xml:space="preserve">February CPI </w:t>
      </w:r>
    </w:p>
    <w:p w14:paraId="44683795" w14:textId="31B312B0" w:rsidR="00C74977" w:rsidRDefault="00C74977" w:rsidP="00C74977">
      <w:pPr>
        <w:pStyle w:val="ListParagraph"/>
        <w:numPr>
          <w:ilvl w:val="0"/>
          <w:numId w:val="1"/>
        </w:numPr>
      </w:pPr>
      <w:r>
        <w:t>March 12: January factory orders and</w:t>
      </w:r>
      <w:r w:rsidR="00F5680F">
        <w:t xml:space="preserve"> </w:t>
      </w:r>
      <w:r>
        <w:t>Adobe (ADBE)</w:t>
      </w:r>
      <w:r w:rsidR="00F5680F">
        <w:t xml:space="preserve"> earnings</w:t>
      </w:r>
    </w:p>
    <w:p w14:paraId="10D0DBC5" w14:textId="2BDC6E5A" w:rsidR="00C74977" w:rsidRDefault="00C74977" w:rsidP="00C74977">
      <w:pPr>
        <w:pStyle w:val="ListParagraph"/>
        <w:numPr>
          <w:ilvl w:val="0"/>
          <w:numId w:val="1"/>
        </w:numPr>
      </w:pPr>
      <w:r>
        <w:t>March 13: January PCE, Q4 GDP</w:t>
      </w:r>
      <w:r w:rsidR="00F5680F">
        <w:t>,</w:t>
      </w:r>
      <w:r>
        <w:t xml:space="preserve"> University of Michigan</w:t>
      </w:r>
      <w:r w:rsidR="00F5680F">
        <w:t xml:space="preserve"> </w:t>
      </w:r>
      <w:r>
        <w:t>Consumer Sentiment</w:t>
      </w:r>
    </w:p>
    <w:p w14:paraId="75F7A832" w14:textId="24835196" w:rsidR="006B4FBC" w:rsidRDefault="006B4FBC" w:rsidP="006B4FBC">
      <w:r>
        <w:t>The CPI print is the data point that will likely shape policy expectations and help shape the tone for the rest of the month.</w:t>
      </w:r>
    </w:p>
    <w:p w14:paraId="72C30B3E" w14:textId="77777777" w:rsidR="00495A89" w:rsidRDefault="00495A89" w:rsidP="006B4FBC"/>
    <w:sectPr w:rsidR="00495A89" w:rsidSect="00EF1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25298"/>
    <w:multiLevelType w:val="hybridMultilevel"/>
    <w:tmpl w:val="BE1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60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77"/>
    <w:rsid w:val="00286708"/>
    <w:rsid w:val="0031585A"/>
    <w:rsid w:val="0036016F"/>
    <w:rsid w:val="00495A89"/>
    <w:rsid w:val="004E4952"/>
    <w:rsid w:val="005D3E26"/>
    <w:rsid w:val="006A5522"/>
    <w:rsid w:val="006B4FBC"/>
    <w:rsid w:val="006C7BBF"/>
    <w:rsid w:val="007457FC"/>
    <w:rsid w:val="00814246"/>
    <w:rsid w:val="00871B5A"/>
    <w:rsid w:val="008F1980"/>
    <w:rsid w:val="009C0DF6"/>
    <w:rsid w:val="00A04848"/>
    <w:rsid w:val="00A2433A"/>
    <w:rsid w:val="00AD39CB"/>
    <w:rsid w:val="00C01C44"/>
    <w:rsid w:val="00C74977"/>
    <w:rsid w:val="00D603BD"/>
    <w:rsid w:val="00D97894"/>
    <w:rsid w:val="00E779AD"/>
    <w:rsid w:val="00EE582A"/>
    <w:rsid w:val="00EF173C"/>
    <w:rsid w:val="00F5680F"/>
    <w:rsid w:val="00FF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3C81"/>
  <w15:chartTrackingRefBased/>
  <w15:docId w15:val="{66DBE926-6C6E-49EF-A72F-E30E555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77"/>
    <w:rPr>
      <w:rFonts w:eastAsiaTheme="majorEastAsia" w:cstheme="majorBidi"/>
      <w:color w:val="272727" w:themeColor="text1" w:themeTint="D8"/>
    </w:rPr>
  </w:style>
  <w:style w:type="paragraph" w:styleId="Title">
    <w:name w:val="Title"/>
    <w:basedOn w:val="Normal"/>
    <w:next w:val="Normal"/>
    <w:link w:val="TitleChar"/>
    <w:uiPriority w:val="10"/>
    <w:qFormat/>
    <w:rsid w:val="00C74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77"/>
    <w:pPr>
      <w:spacing w:before="160"/>
      <w:jc w:val="center"/>
    </w:pPr>
    <w:rPr>
      <w:i/>
      <w:iCs/>
      <w:color w:val="404040" w:themeColor="text1" w:themeTint="BF"/>
    </w:rPr>
  </w:style>
  <w:style w:type="character" w:customStyle="1" w:styleId="QuoteChar">
    <w:name w:val="Quote Char"/>
    <w:basedOn w:val="DefaultParagraphFont"/>
    <w:link w:val="Quote"/>
    <w:uiPriority w:val="29"/>
    <w:rsid w:val="00C74977"/>
    <w:rPr>
      <w:i/>
      <w:iCs/>
      <w:color w:val="404040" w:themeColor="text1" w:themeTint="BF"/>
    </w:rPr>
  </w:style>
  <w:style w:type="paragraph" w:styleId="ListParagraph">
    <w:name w:val="List Paragraph"/>
    <w:basedOn w:val="Normal"/>
    <w:uiPriority w:val="34"/>
    <w:qFormat/>
    <w:rsid w:val="00C74977"/>
    <w:pPr>
      <w:ind w:left="720"/>
      <w:contextualSpacing/>
    </w:pPr>
  </w:style>
  <w:style w:type="character" w:styleId="IntenseEmphasis">
    <w:name w:val="Intense Emphasis"/>
    <w:basedOn w:val="DefaultParagraphFont"/>
    <w:uiPriority w:val="21"/>
    <w:qFormat/>
    <w:rsid w:val="00C74977"/>
    <w:rPr>
      <w:i/>
      <w:iCs/>
      <w:color w:val="0F4761" w:themeColor="accent1" w:themeShade="BF"/>
    </w:rPr>
  </w:style>
  <w:style w:type="paragraph" w:styleId="IntenseQuote">
    <w:name w:val="Intense Quote"/>
    <w:basedOn w:val="Normal"/>
    <w:next w:val="Normal"/>
    <w:link w:val="IntenseQuoteChar"/>
    <w:uiPriority w:val="30"/>
    <w:qFormat/>
    <w:rsid w:val="00C7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77"/>
    <w:rPr>
      <w:i/>
      <w:iCs/>
      <w:color w:val="0F4761" w:themeColor="accent1" w:themeShade="BF"/>
    </w:rPr>
  </w:style>
  <w:style w:type="character" w:styleId="IntenseReference">
    <w:name w:val="Intense Reference"/>
    <w:basedOn w:val="DefaultParagraphFont"/>
    <w:uiPriority w:val="32"/>
    <w:qFormat/>
    <w:rsid w:val="00C74977"/>
    <w:rPr>
      <w:b/>
      <w:bCs/>
      <w:smallCaps/>
      <w:color w:val="0F4761" w:themeColor="accent1" w:themeShade="BF"/>
      <w:spacing w:val="5"/>
    </w:rPr>
  </w:style>
  <w:style w:type="character" w:styleId="Strong">
    <w:name w:val="Strong"/>
    <w:basedOn w:val="DefaultParagraphFont"/>
    <w:uiPriority w:val="22"/>
    <w:qFormat/>
    <w:rsid w:val="00D603BD"/>
    <w:rPr>
      <w:b/>
      <w:bCs/>
    </w:rPr>
  </w:style>
  <w:style w:type="paragraph" w:styleId="NormalWeb">
    <w:name w:val="Normal (Web)"/>
    <w:basedOn w:val="Normal"/>
    <w:uiPriority w:val="99"/>
    <w:semiHidden/>
    <w:unhideWhenUsed/>
    <w:rsid w:val="00EE58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1076</Words>
  <Characters>5536</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Ruffy</dc:creator>
  <cp:keywords/>
  <dc:description/>
  <cp:lastModifiedBy>Fred Ruffy</cp:lastModifiedBy>
  <cp:revision>4</cp:revision>
  <dcterms:created xsi:type="dcterms:W3CDTF">2026-03-07T21:12:00Z</dcterms:created>
  <dcterms:modified xsi:type="dcterms:W3CDTF">2026-03-08T00:59:00Z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feafc207-33d0-41a0-9438-f7e201934799</vt:lpwstr>
  </property>
</Properties>
</file>